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923ED8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B277C7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7E2EF4">
        <w:t>105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B277C7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B277C7">
        <w:rPr>
          <w:sz w:val="32"/>
          <w:szCs w:val="32"/>
        </w:rPr>
        <w:t>22</w:t>
      </w:r>
      <w:r w:rsidR="00DF7E03">
        <w:rPr>
          <w:sz w:val="32"/>
          <w:szCs w:val="32"/>
        </w:rPr>
        <w:t>19641</w:t>
      </w:r>
    </w:p>
    <w:p w14:paraId="0CE7B7E6" w14:textId="6C5FC35B" w:rsidR="00E90E49" w:rsidRPr="00CE0424" w:rsidRDefault="007E2EF4" w:rsidP="00311702">
      <w:pPr>
        <w:pStyle w:val="3GPPHeader"/>
      </w:pPr>
      <w:r w:rsidRPr="00B277C7">
        <w:t>Toulouse</w:t>
      </w:r>
      <w:r w:rsidR="0027144F" w:rsidRPr="00B277C7">
        <w:t xml:space="preserve">, </w:t>
      </w:r>
      <w:r w:rsidRPr="00B277C7">
        <w:t>France</w:t>
      </w:r>
      <w:r w:rsidR="0027144F" w:rsidRPr="00B277C7">
        <w:t xml:space="preserve">, </w:t>
      </w:r>
      <w:r w:rsidRPr="00B277C7">
        <w:t>14</w:t>
      </w:r>
      <w:r w:rsidR="001D53E7" w:rsidRPr="00B277C7">
        <w:t xml:space="preserve">th – </w:t>
      </w:r>
      <w:r w:rsidRPr="00B277C7">
        <w:t>18</w:t>
      </w:r>
      <w:r w:rsidR="001D53E7" w:rsidRPr="00B277C7">
        <w:t>th</w:t>
      </w:r>
      <w:r w:rsidR="00C37CB2" w:rsidRPr="00B277C7">
        <w:t xml:space="preserve"> </w:t>
      </w:r>
      <w:r w:rsidR="00B277C7" w:rsidRPr="00B277C7">
        <w:t>November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62AF27A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F7E03">
        <w:rPr>
          <w:sz w:val="22"/>
          <w:lang w:val="sv-FI"/>
        </w:rPr>
        <w:t>8.25.2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188B13A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F7E03" w:rsidRPr="00DF7E03">
        <w:rPr>
          <w:sz w:val="22"/>
        </w:rPr>
        <w:t>On NCR RF requirements</w:t>
      </w:r>
    </w:p>
    <w:p w14:paraId="025260C1" w14:textId="7F7E3682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DF7E03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347F9CA3" w:rsidR="00477768" w:rsidRPr="00CE0424" w:rsidRDefault="00EA1819" w:rsidP="00CE0424">
      <w:pPr>
        <w:pStyle w:val="BodyText"/>
      </w:pPr>
      <w:r>
        <w:t>During RAN4#104bis-e, initial discussions took place for the NCR RF and a WF was agreed.</w:t>
      </w:r>
      <w:r w:rsidR="00E2499D">
        <w:t xml:space="preserve"> Several RF aspects need to wait for the outcome of the RAN1 discussions</w:t>
      </w:r>
      <w:r w:rsidR="004C6E8A">
        <w:t>, but this contribution provides views on some issues.</w:t>
      </w:r>
    </w:p>
    <w:p w14:paraId="60123794" w14:textId="1EA8F873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6D5052C" w14:textId="57F4BBCC" w:rsidR="00002329" w:rsidRDefault="00002329" w:rsidP="004C6E8A">
      <w:pPr>
        <w:rPr>
          <w:lang w:val="en-GB" w:eastAsia="ja-JP"/>
        </w:rPr>
      </w:pPr>
      <w:r>
        <w:rPr>
          <w:lang w:val="en-GB" w:eastAsia="ja-JP"/>
        </w:rPr>
        <w:t xml:space="preserve">The WF states that a generic reference diagram for the NCR may be created if needed. In our view, it is useful to capture in the technical specification </w:t>
      </w:r>
      <w:r w:rsidR="00161A08">
        <w:rPr>
          <w:lang w:val="en-GB" w:eastAsia="ja-JP"/>
        </w:rPr>
        <w:t xml:space="preserve">that </w:t>
      </w:r>
      <w:r w:rsidR="00C50A2F">
        <w:rPr>
          <w:lang w:val="en-GB" w:eastAsia="ja-JP"/>
        </w:rPr>
        <w:t>the Rel-18 NCR consists of both the NCR-</w:t>
      </w:r>
      <w:proofErr w:type="spellStart"/>
      <w:r w:rsidR="00C50A2F">
        <w:rPr>
          <w:lang w:val="en-GB" w:eastAsia="ja-JP"/>
        </w:rPr>
        <w:t>Fwd</w:t>
      </w:r>
      <w:proofErr w:type="spellEnd"/>
      <w:r w:rsidR="00C50A2F">
        <w:rPr>
          <w:lang w:val="en-GB" w:eastAsia="ja-JP"/>
        </w:rPr>
        <w:t xml:space="preserve"> and NCR MT parts. It is also useful to capture that </w:t>
      </w:r>
      <w:r w:rsidR="00DF7E03">
        <w:rPr>
          <w:lang w:val="en-GB" w:eastAsia="ja-JP"/>
        </w:rPr>
        <w:t>non-NCR</w:t>
      </w:r>
      <w:r w:rsidR="00C50A2F">
        <w:rPr>
          <w:lang w:val="en-GB" w:eastAsia="ja-JP"/>
        </w:rPr>
        <w:t xml:space="preserve"> repeaters do not contain the NCR-MT part</w:t>
      </w:r>
      <w:r w:rsidR="0006354C">
        <w:rPr>
          <w:lang w:val="en-GB" w:eastAsia="ja-JP"/>
        </w:rPr>
        <w:t>, since it is necessary to differentiate both NCR and non-NCR repeaters in future specifications and define an appropriate requirement applicability.</w:t>
      </w:r>
    </w:p>
    <w:p w14:paraId="56C57C97" w14:textId="6C974804" w:rsidR="00A655E9" w:rsidRDefault="00A655E9" w:rsidP="004C6E8A">
      <w:pPr>
        <w:rPr>
          <w:lang w:val="en-GB" w:eastAsia="ja-JP"/>
        </w:rPr>
      </w:pPr>
      <w:r>
        <w:rPr>
          <w:lang w:val="en-GB" w:eastAsia="ja-JP"/>
        </w:rPr>
        <w:t>The NCR-MT may share the same RF and antenna as the NCR-</w:t>
      </w:r>
      <w:proofErr w:type="spellStart"/>
      <w:r>
        <w:rPr>
          <w:lang w:val="en-GB" w:eastAsia="ja-JP"/>
        </w:rPr>
        <w:t>Fwd</w:t>
      </w:r>
      <w:proofErr w:type="spellEnd"/>
      <w:r>
        <w:rPr>
          <w:lang w:val="en-GB" w:eastAsia="ja-JP"/>
        </w:rPr>
        <w:t xml:space="preserve"> part, but this does not necessarily have to be the case. To be generic, the diagram should not </w:t>
      </w:r>
      <w:r w:rsidR="004E7AAF">
        <w:rPr>
          <w:lang w:val="en-GB" w:eastAsia="ja-JP"/>
        </w:rPr>
        <w:t>imply that the NCR-</w:t>
      </w:r>
      <w:proofErr w:type="spellStart"/>
      <w:r w:rsidR="004E7AAF">
        <w:rPr>
          <w:lang w:val="en-GB" w:eastAsia="ja-JP"/>
        </w:rPr>
        <w:t>Fwd</w:t>
      </w:r>
      <w:proofErr w:type="spellEnd"/>
      <w:r w:rsidR="004E7AAF">
        <w:rPr>
          <w:lang w:val="en-GB" w:eastAsia="ja-JP"/>
        </w:rPr>
        <w:t xml:space="preserve"> and NC-MT have a common RF, </w:t>
      </w:r>
      <w:proofErr w:type="gramStart"/>
      <w:r w:rsidR="004E7AAF">
        <w:rPr>
          <w:lang w:val="en-GB" w:eastAsia="ja-JP"/>
        </w:rPr>
        <w:t>antenna</w:t>
      </w:r>
      <w:proofErr w:type="gramEnd"/>
      <w:r w:rsidR="004E7AAF">
        <w:rPr>
          <w:lang w:val="en-GB" w:eastAsia="ja-JP"/>
        </w:rPr>
        <w:t xml:space="preserve"> or connectors </w:t>
      </w:r>
      <w:r w:rsidR="00ED3BF5">
        <w:rPr>
          <w:lang w:val="en-GB" w:eastAsia="ja-JP"/>
        </w:rPr>
        <w:t xml:space="preserve">or even baseband, </w:t>
      </w:r>
      <w:r w:rsidR="004E7AAF">
        <w:rPr>
          <w:lang w:val="en-GB" w:eastAsia="ja-JP"/>
        </w:rPr>
        <w:t>and also should not preclude it</w:t>
      </w:r>
      <w:r w:rsidR="00ED3BF5">
        <w:rPr>
          <w:lang w:val="en-GB" w:eastAsia="ja-JP"/>
        </w:rPr>
        <w:t>.</w:t>
      </w:r>
    </w:p>
    <w:p w14:paraId="02B2C1E2" w14:textId="0FE3653C" w:rsidR="00ED3BF5" w:rsidRDefault="00ED3BF5" w:rsidP="004C6E8A">
      <w:pPr>
        <w:rPr>
          <w:lang w:val="en-GB" w:eastAsia="ja-JP"/>
        </w:rPr>
      </w:pPr>
      <w:r>
        <w:rPr>
          <w:lang w:val="en-GB" w:eastAsia="ja-JP"/>
        </w:rPr>
        <w:t xml:space="preserve">A proposal for a very generic diagram and some accompanying text is provided below. </w:t>
      </w:r>
      <w:r w:rsidR="00C252B9">
        <w:rPr>
          <w:lang w:val="en-GB" w:eastAsia="ja-JP"/>
        </w:rPr>
        <w:t xml:space="preserve">The text is </w:t>
      </w:r>
      <w:proofErr w:type="gramStart"/>
      <w:r w:rsidR="00C252B9">
        <w:rPr>
          <w:lang w:val="en-GB" w:eastAsia="ja-JP"/>
        </w:rPr>
        <w:t>actually more</w:t>
      </w:r>
      <w:proofErr w:type="gramEnd"/>
      <w:r w:rsidR="00C252B9">
        <w:rPr>
          <w:lang w:val="en-GB" w:eastAsia="ja-JP"/>
        </w:rPr>
        <w:t xml:space="preserve"> important than the diagram and should be discussed further in RAN4.</w:t>
      </w:r>
    </w:p>
    <w:p w14:paraId="21AF6100" w14:textId="60290B4C" w:rsidR="00C252B9" w:rsidRDefault="00C252B9" w:rsidP="004C6E8A">
      <w:pPr>
        <w:rPr>
          <w:lang w:val="en-GB" w:eastAsia="ja-JP"/>
        </w:rPr>
      </w:pPr>
    </w:p>
    <w:p w14:paraId="21A35BB2" w14:textId="23BEF20B" w:rsidR="00C252B9" w:rsidRDefault="00A42816" w:rsidP="0006354C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0A20104C" wp14:editId="713F07D9">
            <wp:extent cx="3083378" cy="16249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52" cy="164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32F8A4" w14:textId="25D5AB4B" w:rsidR="00C252B9" w:rsidRDefault="00C252B9" w:rsidP="004C6E8A">
      <w:pPr>
        <w:rPr>
          <w:lang w:val="en-GB" w:eastAsia="ja-JP"/>
        </w:rPr>
      </w:pPr>
    </w:p>
    <w:p w14:paraId="111922FB" w14:textId="5ADC3F2B" w:rsidR="00C252B9" w:rsidRDefault="00C252B9" w:rsidP="004C6E8A">
      <w:pPr>
        <w:rPr>
          <w:lang w:val="en-GB" w:eastAsia="ja-JP"/>
        </w:rPr>
      </w:pPr>
      <w:r>
        <w:rPr>
          <w:lang w:val="en-GB" w:eastAsia="ja-JP"/>
        </w:rPr>
        <w:t>An NCR repeater consists of an NCR-</w:t>
      </w:r>
      <w:proofErr w:type="spellStart"/>
      <w:r>
        <w:rPr>
          <w:lang w:val="en-GB" w:eastAsia="ja-JP"/>
        </w:rPr>
        <w:t>Fwd</w:t>
      </w:r>
      <w:proofErr w:type="spellEnd"/>
      <w:r>
        <w:rPr>
          <w:lang w:val="en-GB" w:eastAsia="ja-JP"/>
        </w:rPr>
        <w:t xml:space="preserve"> part and an NCR-MT part. The NCR-</w:t>
      </w:r>
      <w:proofErr w:type="spellStart"/>
      <w:r>
        <w:rPr>
          <w:lang w:val="en-GB" w:eastAsia="ja-JP"/>
        </w:rPr>
        <w:t>Fwd</w:t>
      </w:r>
      <w:proofErr w:type="spellEnd"/>
      <w:r>
        <w:rPr>
          <w:lang w:val="en-GB" w:eastAsia="ja-JP"/>
        </w:rPr>
        <w:t xml:space="preserve"> and NCR-MT may share parts or </w:t>
      </w:r>
      <w:proofErr w:type="gramStart"/>
      <w:r>
        <w:rPr>
          <w:lang w:val="en-GB" w:eastAsia="ja-JP"/>
        </w:rPr>
        <w:t>all of</w:t>
      </w:r>
      <w:proofErr w:type="gramEnd"/>
      <w:r>
        <w:rPr>
          <w:lang w:val="en-GB" w:eastAsia="ja-JP"/>
        </w:rPr>
        <w:t xml:space="preserve"> the antenna array, RF and baseband, but they may also be completely separate.</w:t>
      </w:r>
    </w:p>
    <w:p w14:paraId="4E70320E" w14:textId="0949F85C" w:rsidR="00C252B9" w:rsidRDefault="00C252B9" w:rsidP="004C6E8A">
      <w:pPr>
        <w:rPr>
          <w:lang w:val="en-GB" w:eastAsia="ja-JP"/>
        </w:rPr>
      </w:pPr>
      <w:r>
        <w:rPr>
          <w:lang w:val="en-GB" w:eastAsia="ja-JP"/>
        </w:rPr>
        <w:t xml:space="preserve">A non-NCR repeater consists only of an </w:t>
      </w:r>
      <w:proofErr w:type="spellStart"/>
      <w:r>
        <w:rPr>
          <w:lang w:val="en-GB" w:eastAsia="ja-JP"/>
        </w:rPr>
        <w:t>Fwd</w:t>
      </w:r>
      <w:proofErr w:type="spellEnd"/>
      <w:r>
        <w:rPr>
          <w:lang w:val="en-GB" w:eastAsia="ja-JP"/>
        </w:rPr>
        <w:t xml:space="preserve"> part.</w:t>
      </w:r>
    </w:p>
    <w:p w14:paraId="4FD4C807" w14:textId="77777777" w:rsidR="00C252B9" w:rsidRDefault="00C252B9" w:rsidP="004C6E8A">
      <w:pPr>
        <w:rPr>
          <w:lang w:val="en-GB" w:eastAsia="ja-JP"/>
        </w:rPr>
      </w:pPr>
    </w:p>
    <w:p w14:paraId="53502872" w14:textId="352B6E1F" w:rsidR="004C6E8A" w:rsidRDefault="004C6E8A" w:rsidP="004C6E8A">
      <w:pPr>
        <w:rPr>
          <w:lang w:val="en-GB" w:eastAsia="ja-JP"/>
        </w:rPr>
      </w:pPr>
      <w:r>
        <w:rPr>
          <w:lang w:val="en-GB" w:eastAsia="ja-JP"/>
        </w:rPr>
        <w:t xml:space="preserve">It was agreed during RAN4#104bis-e that </w:t>
      </w:r>
      <w:r w:rsidR="009C5822">
        <w:rPr>
          <w:lang w:val="en-GB" w:eastAsia="ja-JP"/>
        </w:rPr>
        <w:t>a baseline assumption is that the same class/type is agreed for the NCR-FWD and NCR-MT parts. The agreement did not specify whether</w:t>
      </w:r>
      <w:r w:rsidR="00F40AFB">
        <w:rPr>
          <w:lang w:val="en-GB" w:eastAsia="ja-JP"/>
        </w:rPr>
        <w:t>, if the IAB-MT transmits,</w:t>
      </w:r>
      <w:r w:rsidR="009C5822">
        <w:rPr>
          <w:lang w:val="en-GB" w:eastAsia="ja-JP"/>
        </w:rPr>
        <w:t xml:space="preserve"> the NCR-MT class should be seen as a UE like power class (</w:t>
      </w:r>
      <w:r w:rsidR="00DF7E03">
        <w:rPr>
          <w:lang w:val="en-GB" w:eastAsia="ja-JP"/>
        </w:rPr>
        <w:t>i.e.,</w:t>
      </w:r>
      <w:r w:rsidR="009C5822">
        <w:rPr>
          <w:lang w:val="en-GB" w:eastAsia="ja-JP"/>
        </w:rPr>
        <w:t xml:space="preserve"> subject to a requirement on output power) or should be </w:t>
      </w:r>
      <w:r w:rsidR="005F3B6B">
        <w:rPr>
          <w:lang w:val="en-GB" w:eastAsia="ja-JP"/>
        </w:rPr>
        <w:t>treated like an IAB-MT (i.e., output power declared, subject to a maximum limit).</w:t>
      </w:r>
    </w:p>
    <w:p w14:paraId="182C3BF2" w14:textId="6BE30D23" w:rsidR="005F3B6B" w:rsidRPr="005173AA" w:rsidRDefault="005F3B6B" w:rsidP="005173AA">
      <w:pPr>
        <w:pStyle w:val="Doc-text2"/>
      </w:pPr>
      <w:r w:rsidRPr="005173AA">
        <w:t xml:space="preserve">Rel-18 repeater is a network node and does not move and so is </w:t>
      </w:r>
      <w:proofErr w:type="gramStart"/>
      <w:r w:rsidRPr="005173AA">
        <w:t>similar to</w:t>
      </w:r>
      <w:proofErr w:type="gramEnd"/>
      <w:r w:rsidRPr="005173AA">
        <w:t xml:space="preserve"> an IAB. The UL output power for the Rel-17 NCR-</w:t>
      </w:r>
      <w:proofErr w:type="spellStart"/>
      <w:r w:rsidRPr="005173AA">
        <w:t>Fwd</w:t>
      </w:r>
      <w:proofErr w:type="spellEnd"/>
      <w:r w:rsidRPr="005173AA">
        <w:t xml:space="preserve"> </w:t>
      </w:r>
      <w:r w:rsidR="00F40AFB" w:rsidRPr="005173AA">
        <w:t>is a declaration, similar to IAB-MT. Taking into account the IAB and Rel-17 repeater framework, it is reasonable to define the output power in the same manner as IAB-</w:t>
      </w:r>
      <w:proofErr w:type="gramStart"/>
      <w:r w:rsidR="00F40AFB" w:rsidRPr="005173AA">
        <w:t>MT;</w:t>
      </w:r>
      <w:proofErr w:type="gramEnd"/>
      <w:r w:rsidR="00F40AFB" w:rsidRPr="005173AA">
        <w:t xml:space="preserve"> i.e. </w:t>
      </w:r>
      <w:r w:rsidR="00511F70" w:rsidRPr="005173AA">
        <w:t>a declaration subject to a maximum level for the LA class.</w:t>
      </w:r>
    </w:p>
    <w:p w14:paraId="007BF453" w14:textId="6D8052B3" w:rsidR="00511F70" w:rsidRDefault="00511F70" w:rsidP="00511F70">
      <w:pPr>
        <w:pStyle w:val="Proposal"/>
        <w:rPr>
          <w:lang w:val="en-GB"/>
        </w:rPr>
      </w:pPr>
      <w:bookmarkStart w:id="1" w:name="_Toc118731917"/>
      <w:r>
        <w:rPr>
          <w:lang w:val="en-GB"/>
        </w:rPr>
        <w:t>NCR-MT output power should be declared, subject to a maximum limit using the same framework as IAB MT if the NCR-MT transmits.</w:t>
      </w:r>
      <w:bookmarkEnd w:id="1"/>
    </w:p>
    <w:p w14:paraId="6EF19BBB" w14:textId="45F034C4" w:rsidR="00511F70" w:rsidRDefault="00511F70" w:rsidP="00511F70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</w:p>
    <w:p w14:paraId="2B252955" w14:textId="3159D923" w:rsidR="00511F70" w:rsidRDefault="00511F70" w:rsidP="005173AA">
      <w:pPr>
        <w:pStyle w:val="Doc-text2"/>
        <w:rPr>
          <w:b/>
          <w:bCs/>
        </w:rPr>
      </w:pPr>
      <w:r>
        <w:t>Regarding output power control</w:t>
      </w:r>
      <w:r w:rsidR="00612FDB">
        <w:t xml:space="preserve"> and the assumed dynamic range, a similar approach to IAB-MT can also be specified, in which for the WA class the output power control dynamic range is more limited. This is reasonable considering that the IAB is a network node with a fixed link to the donor BS.</w:t>
      </w:r>
    </w:p>
    <w:p w14:paraId="5EEBCFF5" w14:textId="1492A12D" w:rsidR="00612FDB" w:rsidRDefault="00612FDB" w:rsidP="00612FDB">
      <w:pPr>
        <w:pStyle w:val="Proposal"/>
        <w:rPr>
          <w:lang w:val="en-GB"/>
        </w:rPr>
      </w:pPr>
      <w:bookmarkStart w:id="2" w:name="_Toc118731918"/>
      <w:r>
        <w:rPr>
          <w:lang w:val="en-GB"/>
        </w:rPr>
        <w:t>If the IAB-MT transmits, treat the output power control requirements in the same manner as IAB-MT.</w:t>
      </w:r>
      <w:bookmarkEnd w:id="2"/>
    </w:p>
    <w:p w14:paraId="583E01B4" w14:textId="5DD445BC" w:rsidR="00612FDB" w:rsidRDefault="00612FDB" w:rsidP="00612FDB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</w:p>
    <w:p w14:paraId="338413FD" w14:textId="2EFFEF01" w:rsidR="00612FDB" w:rsidRPr="00612FDB" w:rsidRDefault="0006354C" w:rsidP="005173AA">
      <w:pPr>
        <w:pStyle w:val="Doc-text2"/>
        <w:rPr>
          <w:b/>
          <w:bCs/>
        </w:rPr>
      </w:pPr>
      <w:r>
        <w:t>During RAN4</w:t>
      </w:r>
      <w:r w:rsidR="00E56E09">
        <w:t>#104bis-e, it was proposed that NCR-MT receiver requirements can be tested together with some NCR-</w:t>
      </w:r>
      <w:proofErr w:type="spellStart"/>
      <w:r w:rsidR="00E56E09">
        <w:t>FwD</w:t>
      </w:r>
      <w:proofErr w:type="spellEnd"/>
      <w:r w:rsidR="00E56E09">
        <w:t xml:space="preserve"> requirements, such as ACRR. This may be attractive for test </w:t>
      </w:r>
      <w:proofErr w:type="gramStart"/>
      <w:r w:rsidR="00E56E09">
        <w:t>purposes,</w:t>
      </w:r>
      <w:proofErr w:type="gramEnd"/>
      <w:r w:rsidR="00E56E09">
        <w:t xml:space="preserve"> however it assumes that the </w:t>
      </w:r>
      <w:proofErr w:type="spellStart"/>
      <w:r w:rsidR="00E56E09">
        <w:t>AoA</w:t>
      </w:r>
      <w:proofErr w:type="spellEnd"/>
      <w:r w:rsidR="00E56E09">
        <w:t xml:space="preserve"> for the MT part and the</w:t>
      </w:r>
      <w:r w:rsidR="00D51D81">
        <w:t xml:space="preserve"> </w:t>
      </w:r>
      <w:proofErr w:type="spellStart"/>
      <w:r w:rsidR="00D51D81">
        <w:t>Fwd</w:t>
      </w:r>
      <w:proofErr w:type="spellEnd"/>
      <w:r w:rsidR="00D51D81">
        <w:t xml:space="preserve"> part are the same. RAN4 should discuss further whether such an assumption is reasonable to make. A possibility could be to specify that NCR-</w:t>
      </w:r>
      <w:proofErr w:type="spellStart"/>
      <w:r w:rsidR="00D51D81">
        <w:t>Fwd</w:t>
      </w:r>
      <w:proofErr w:type="spellEnd"/>
      <w:r w:rsidR="00D51D81">
        <w:t xml:space="preserve"> and NCR-MT requirements can be tested together without mandating that they </w:t>
      </w:r>
      <w:proofErr w:type="gramStart"/>
      <w:r w:rsidR="00D51D81">
        <w:t>have to</w:t>
      </w:r>
      <w:proofErr w:type="gramEnd"/>
      <w:r w:rsidR="00D51D81">
        <w:t xml:space="preserve"> be tested together.</w:t>
      </w:r>
    </w:p>
    <w:p w14:paraId="3879E8F8" w14:textId="77777777" w:rsidR="00C473A5" w:rsidRDefault="00C473A5" w:rsidP="00CE0424">
      <w:pPr>
        <w:pStyle w:val="Heading1"/>
        <w:sectPr w:rsidR="00C473A5" w:rsidSect="00E259A6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AE9403C" w14:textId="0AABD36C" w:rsidR="005173A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8731917" w:history="1">
        <w:r w:rsidR="005173AA" w:rsidRPr="0075339B">
          <w:rPr>
            <w:rStyle w:val="Hyperlink"/>
            <w:noProof/>
            <w:lang w:val="en-GB"/>
          </w:rPr>
          <w:t>Proposal 1</w:t>
        </w:r>
        <w:r w:rsidR="005173AA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73AA" w:rsidRPr="0075339B">
          <w:rPr>
            <w:rStyle w:val="Hyperlink"/>
            <w:noProof/>
            <w:lang w:val="en-GB"/>
          </w:rPr>
          <w:t>NCR-MT output power should be declared, subject to a maximum limit using the same framework as IAB MT if the NCR-MT transmits.</w:t>
        </w:r>
      </w:hyperlink>
    </w:p>
    <w:p w14:paraId="615246D7" w14:textId="65CB0955" w:rsidR="005173AA" w:rsidRDefault="005173A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31918" w:history="1">
        <w:r w:rsidRPr="0075339B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75339B">
          <w:rPr>
            <w:rStyle w:val="Hyperlink"/>
            <w:noProof/>
            <w:lang w:val="en-GB"/>
          </w:rPr>
          <w:t>If the IAB-MT transmits, treat the output power control requirements in the same manner as IAB-MT.</w:t>
        </w:r>
      </w:hyperlink>
    </w:p>
    <w:p w14:paraId="747C743C" w14:textId="2C74887D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095FB" w14:textId="77777777" w:rsidR="00E95442" w:rsidRDefault="00E95442">
      <w:r>
        <w:separator/>
      </w:r>
    </w:p>
  </w:endnote>
  <w:endnote w:type="continuationSeparator" w:id="0">
    <w:p w14:paraId="44FEF1DD" w14:textId="77777777" w:rsidR="00E95442" w:rsidRDefault="00E95442">
      <w:r>
        <w:continuationSeparator/>
      </w:r>
    </w:p>
  </w:endnote>
  <w:endnote w:type="continuationNotice" w:id="1">
    <w:p w14:paraId="020E7E65" w14:textId="77777777" w:rsidR="00E95442" w:rsidRDefault="00E954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8CE8C" w14:textId="77777777" w:rsidR="00E95442" w:rsidRDefault="00E95442">
      <w:r>
        <w:separator/>
      </w:r>
    </w:p>
  </w:footnote>
  <w:footnote w:type="continuationSeparator" w:id="0">
    <w:p w14:paraId="0727EB6A" w14:textId="77777777" w:rsidR="00E95442" w:rsidRDefault="00E95442">
      <w:r>
        <w:continuationSeparator/>
      </w:r>
    </w:p>
  </w:footnote>
  <w:footnote w:type="continuationNotice" w:id="1">
    <w:p w14:paraId="206383E2" w14:textId="77777777" w:rsidR="00E95442" w:rsidRDefault="00E954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CE70B5"/>
    <w:multiLevelType w:val="hybridMultilevel"/>
    <w:tmpl w:val="495834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8156AC"/>
    <w:multiLevelType w:val="hybridMultilevel"/>
    <w:tmpl w:val="7792B9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2"/>
  </w:num>
  <w:num w:numId="22">
    <w:abstractNumId w:val="22"/>
  </w:num>
  <w:num w:numId="23">
    <w:abstractNumId w:val="4"/>
  </w:num>
  <w:num w:numId="2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329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54C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A08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6E8A"/>
    <w:rsid w:val="004D36B1"/>
    <w:rsid w:val="004D7EBD"/>
    <w:rsid w:val="004E2680"/>
    <w:rsid w:val="004E28F9"/>
    <w:rsid w:val="004E462E"/>
    <w:rsid w:val="004E56DC"/>
    <w:rsid w:val="004E76F4"/>
    <w:rsid w:val="004E7AAF"/>
    <w:rsid w:val="004F0B4E"/>
    <w:rsid w:val="004F0B6C"/>
    <w:rsid w:val="004F2078"/>
    <w:rsid w:val="004F4DA3"/>
    <w:rsid w:val="00506557"/>
    <w:rsid w:val="0050677A"/>
    <w:rsid w:val="005108D8"/>
    <w:rsid w:val="005116F9"/>
    <w:rsid w:val="00511F70"/>
    <w:rsid w:val="005153A7"/>
    <w:rsid w:val="005173AA"/>
    <w:rsid w:val="005219CF"/>
    <w:rsid w:val="00534B59"/>
    <w:rsid w:val="005354BD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3B6B"/>
    <w:rsid w:val="005F618C"/>
    <w:rsid w:val="005F70BD"/>
    <w:rsid w:val="0060283C"/>
    <w:rsid w:val="00604F14"/>
    <w:rsid w:val="00611B83"/>
    <w:rsid w:val="00612FDB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EF4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582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816"/>
    <w:rsid w:val="00A45B74"/>
    <w:rsid w:val="00A52E1D"/>
    <w:rsid w:val="00A61499"/>
    <w:rsid w:val="00A62A77"/>
    <w:rsid w:val="00A63483"/>
    <w:rsid w:val="00A655E9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7C7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2B9"/>
    <w:rsid w:val="00C279B5"/>
    <w:rsid w:val="00C27C45"/>
    <w:rsid w:val="00C3719D"/>
    <w:rsid w:val="00C37CB2"/>
    <w:rsid w:val="00C473A5"/>
    <w:rsid w:val="00C50A2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D81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E03"/>
    <w:rsid w:val="00E110E7"/>
    <w:rsid w:val="00E11B20"/>
    <w:rsid w:val="00E17FA2"/>
    <w:rsid w:val="00E22330"/>
    <w:rsid w:val="00E2499D"/>
    <w:rsid w:val="00E259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E09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442"/>
    <w:rsid w:val="00EA181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BF5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AFB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CC2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5173AA"/>
    <w:rPr>
      <w:lang w:val="en-GB" w:eastAsia="ja-JP"/>
    </w:rPr>
  </w:style>
  <w:style w:type="character" w:customStyle="1" w:styleId="Doc-text2Char">
    <w:name w:val="Doc-text2 Char"/>
    <w:link w:val="Doc-text2"/>
    <w:locked/>
    <w:rsid w:val="005173AA"/>
    <w:rPr>
      <w:rFonts w:ascii="Arial" w:eastAsiaTheme="minorHAnsi" w:hAnsi="Arial" w:cstheme="minorBidi"/>
      <w:szCs w:val="22"/>
      <w:lang w:eastAsia="ja-JP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31</cp:revision>
  <cp:lastPrinted>2008-01-31T16:09:00Z</cp:lastPrinted>
  <dcterms:created xsi:type="dcterms:W3CDTF">2020-08-14T06:21:00Z</dcterms:created>
  <dcterms:modified xsi:type="dcterms:W3CDTF">2022-11-07T15:45:00Z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